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sz w:val="30"/>
          <w:szCs w:val="30"/>
          <w:lang w:eastAsia="zh-CN"/>
        </w:rPr>
      </w:pPr>
      <w:r>
        <w:rPr>
          <w:rFonts w:hint="default" w:ascii="Arial" w:hAnsi="Arial" w:cs="Arial"/>
          <w:sz w:val="30"/>
          <w:szCs w:val="30"/>
          <w:lang w:eastAsia="zh-CN"/>
        </w:rPr>
        <w:t>宁波七品机械制造有限公司</w:t>
      </w:r>
    </w:p>
    <w:p>
      <w:pPr>
        <w:jc w:val="center"/>
        <w:rPr>
          <w:rFonts w:hint="eastAsia"/>
          <w:color w:val="auto"/>
          <w:sz w:val="30"/>
          <w:szCs w:val="30"/>
          <w:lang w:eastAsia="zh-CN"/>
        </w:rPr>
      </w:pPr>
      <w:r>
        <w:rPr>
          <w:rFonts w:hint="eastAsia"/>
          <w:color w:val="auto"/>
          <w:sz w:val="30"/>
          <w:szCs w:val="30"/>
          <w:lang w:eastAsia="zh-CN"/>
        </w:rPr>
        <w:t>年产4000万件汽车塑料配件生产线技术改造项目</w:t>
      </w:r>
    </w:p>
    <w:p>
      <w:pPr>
        <w:jc w:val="center"/>
        <w:rPr>
          <w:rFonts w:hint="eastAsia"/>
          <w:color w:val="auto"/>
          <w:sz w:val="30"/>
          <w:szCs w:val="30"/>
          <w:lang w:eastAsia="zh-CN"/>
        </w:rPr>
      </w:pPr>
      <w:r>
        <w:rPr>
          <w:rFonts w:hint="eastAsia"/>
          <w:color w:val="auto"/>
          <w:sz w:val="30"/>
          <w:szCs w:val="30"/>
          <w:lang w:eastAsia="zh-CN"/>
        </w:rPr>
        <w:t>环境影响评价第一次公示</w:t>
      </w:r>
    </w:p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1、建设项目基本情况</w:t>
      </w:r>
    </w:p>
    <w:p>
      <w:pPr>
        <w:spacing w:line="400" w:lineRule="exact"/>
        <w:ind w:firstLine="480" w:firstLineChars="200"/>
        <w:rPr>
          <w:rFonts w:hint="eastAsia" w:ascii="Arial" w:hAnsi="Arial" w:cs="Arial"/>
          <w:sz w:val="24"/>
          <w:lang w:val="zh-CN"/>
        </w:rPr>
      </w:pPr>
      <w:r>
        <w:rPr>
          <w:rFonts w:hint="eastAsia" w:ascii="Arial" w:hAnsi="Arial" w:cs="Arial"/>
          <w:sz w:val="24"/>
          <w:lang w:val="zh-CN"/>
        </w:rPr>
        <w:t>建设项目名称：</w:t>
      </w:r>
      <w:r>
        <w:rPr>
          <w:rFonts w:hint="eastAsia" w:ascii="Arial" w:hAnsi="Arial" w:cs="Arial"/>
          <w:sz w:val="24"/>
          <w:lang w:eastAsia="zh-CN"/>
        </w:rPr>
        <w:t>年产4000万件汽车塑料配件生产线技术改造项目</w:t>
      </w:r>
    </w:p>
    <w:p>
      <w:pPr>
        <w:spacing w:line="400" w:lineRule="exact"/>
        <w:ind w:firstLine="480" w:firstLineChars="200"/>
        <w:rPr>
          <w:rFonts w:hint="eastAsia" w:ascii="Arial" w:hAnsi="Arial" w:cs="Arial"/>
          <w:sz w:val="24"/>
          <w:lang w:val="en-US" w:eastAsia="zh-CN"/>
        </w:rPr>
      </w:pPr>
      <w:r>
        <w:rPr>
          <w:rFonts w:ascii="Arial" w:hAnsi="Arial" w:cs="Arial"/>
          <w:sz w:val="24"/>
        </w:rPr>
        <w:t>建设项目概要</w:t>
      </w:r>
      <w:r>
        <w:rPr>
          <w:rFonts w:hint="eastAsia" w:ascii="Arial" w:hAnsi="Arial" w:cs="Arial"/>
          <w:sz w:val="24"/>
          <w:lang w:val="zh-CN"/>
        </w:rPr>
        <w:t>：</w:t>
      </w:r>
      <w:r>
        <w:rPr>
          <w:rFonts w:hint="eastAsia" w:ascii="Arial" w:hAnsi="Arial" w:cs="Arial"/>
          <w:sz w:val="24"/>
          <w:lang w:eastAsia="zh-CN"/>
        </w:rPr>
        <w:t>宁波七品机械制造有限公司</w:t>
      </w:r>
      <w:r>
        <w:rPr>
          <w:rFonts w:hint="default" w:ascii="Arial" w:hAnsi="Arial" w:cs="Arial"/>
          <w:sz w:val="24"/>
          <w:lang w:val="en-US" w:eastAsia="zh-CN"/>
        </w:rPr>
        <w:t>总占地面积15373m</w:t>
      </w:r>
      <w:r>
        <w:rPr>
          <w:rFonts w:hint="default" w:ascii="Arial" w:hAnsi="Arial" w:cs="Arial"/>
          <w:sz w:val="24"/>
          <w:vertAlign w:val="superscript"/>
          <w:lang w:val="en-US" w:eastAsia="zh-CN"/>
        </w:rPr>
        <w:t>2</w:t>
      </w:r>
      <w:r>
        <w:rPr>
          <w:rFonts w:hint="default" w:ascii="Arial" w:hAnsi="Arial" w:cs="Arial"/>
          <w:sz w:val="24"/>
          <w:lang w:val="en-US" w:eastAsia="zh-CN"/>
        </w:rPr>
        <w:t>，总建筑面积</w:t>
      </w:r>
      <w:r>
        <w:rPr>
          <w:rFonts w:hint="eastAsia" w:ascii="Arial" w:hAnsi="Arial" w:cs="Arial"/>
          <w:sz w:val="24"/>
          <w:lang w:val="en-US" w:eastAsia="zh-CN"/>
        </w:rPr>
        <w:t>17894</w:t>
      </w:r>
      <w:r>
        <w:rPr>
          <w:rFonts w:hint="default" w:ascii="Arial" w:hAnsi="Arial" w:cs="Arial"/>
          <w:sz w:val="24"/>
          <w:lang w:val="en-US" w:eastAsia="zh-CN"/>
        </w:rPr>
        <w:t>m</w:t>
      </w:r>
      <w:r>
        <w:rPr>
          <w:rFonts w:hint="default" w:ascii="Arial" w:hAnsi="Arial" w:cs="Arial"/>
          <w:sz w:val="24"/>
          <w:vertAlign w:val="superscript"/>
          <w:lang w:val="en-US" w:eastAsia="zh-CN"/>
        </w:rPr>
        <w:t>2</w:t>
      </w:r>
      <w:r>
        <w:rPr>
          <w:rFonts w:hint="default" w:ascii="Arial" w:hAnsi="Arial" w:cs="Arial"/>
          <w:sz w:val="24"/>
          <w:lang w:val="en-US" w:eastAsia="zh-CN"/>
        </w:rPr>
        <w:t>，主要从事LED灯支架和汽车装</w:t>
      </w:r>
      <w:r>
        <w:rPr>
          <w:rFonts w:hint="default" w:ascii="Arial" w:hAnsi="Arial" w:cs="Arial"/>
          <w:sz w:val="24"/>
          <w:szCs w:val="24"/>
          <w:lang w:val="en-US" w:eastAsia="zh-CN"/>
        </w:rPr>
        <w:t>饰件</w:t>
      </w:r>
      <w:r>
        <w:rPr>
          <w:rFonts w:hint="eastAsia" w:ascii="Arial" w:hAnsi="Arial" w:cs="Arial"/>
          <w:sz w:val="24"/>
          <w:szCs w:val="24"/>
          <w:lang w:val="en-US" w:eastAsia="zh-CN"/>
        </w:rPr>
        <w:t>生产</w:t>
      </w:r>
      <w:r>
        <w:rPr>
          <w:rFonts w:hint="default" w:ascii="Arial" w:hAnsi="Arial" w:eastAsia="宋体" w:cs="Arial"/>
          <w:sz w:val="24"/>
          <w:szCs w:val="24"/>
          <w:lang w:val="en-US" w:eastAsia="zh-CN"/>
        </w:rPr>
        <w:t>制造及销售。企业已建设有2条自动挂镀铜镍铬线（分别为塑料件和金属件配套），</w:t>
      </w:r>
      <w:r>
        <w:rPr>
          <w:rFonts w:hint="default" w:ascii="Arial" w:hAnsi="Arial" w:eastAsia="宋体" w:cs="Arial"/>
          <w:color w:val="auto"/>
          <w:sz w:val="24"/>
          <w:szCs w:val="24"/>
          <w:lang w:val="en-US" w:eastAsia="zh-CN"/>
        </w:rPr>
        <w:t>受市场调控，企业拟投资850万元，计划新增一条</w:t>
      </w:r>
      <w:r>
        <w:rPr>
          <w:rFonts w:hint="default" w:ascii="Arial" w:hAnsi="Arial" w:eastAsia="宋体" w:cs="Arial"/>
          <w:color w:val="auto"/>
          <w:sz w:val="24"/>
          <w:szCs w:val="24"/>
        </w:rPr>
        <w:t>塑料件全自动挂镀铜镍铬线</w:t>
      </w:r>
      <w:r>
        <w:rPr>
          <w:rFonts w:hint="default" w:ascii="Arial" w:hAnsi="Arial" w:eastAsia="宋体" w:cs="Arial"/>
          <w:color w:val="auto"/>
          <w:sz w:val="24"/>
          <w:szCs w:val="24"/>
          <w:lang w:eastAsia="zh-CN"/>
        </w:rPr>
        <w:t>，汽车塑料配件生产能力由原来的</w:t>
      </w:r>
      <w:r>
        <w:rPr>
          <w:rFonts w:hint="default" w:ascii="Arial" w:hAnsi="Arial" w:eastAsia="宋体" w:cs="Arial"/>
          <w:color w:val="auto"/>
          <w:sz w:val="24"/>
          <w:szCs w:val="24"/>
          <w:lang w:val="en-US" w:eastAsia="zh-CN"/>
        </w:rPr>
        <w:t>2000万件增加到4000万件。</w:t>
      </w:r>
      <w:r>
        <w:rPr>
          <w:rFonts w:hint="default" w:ascii="Arial" w:hAnsi="Arial" w:eastAsia="宋体" w:cs="Arial"/>
          <w:color w:val="auto"/>
          <w:sz w:val="24"/>
          <w:szCs w:val="24"/>
        </w:rPr>
        <w:t>该项目已在市发改局备案（</w:t>
      </w:r>
      <w:r>
        <w:rPr>
          <w:rFonts w:hint="default" w:ascii="Arial" w:hAnsi="Arial" w:eastAsia="宋体" w:cs="Arial"/>
          <w:color w:val="auto"/>
          <w:sz w:val="24"/>
          <w:szCs w:val="24"/>
          <w:lang w:eastAsia="zh-CN"/>
        </w:rPr>
        <w:t>赋码：</w:t>
      </w:r>
      <w:r>
        <w:rPr>
          <w:rFonts w:hint="default" w:ascii="Arial" w:hAnsi="Arial" w:eastAsia="宋体" w:cs="Arial"/>
          <w:color w:val="auto"/>
          <w:sz w:val="24"/>
          <w:szCs w:val="24"/>
          <w:lang w:val="en-US" w:eastAsia="zh-CN"/>
        </w:rPr>
        <w:t>2019-330281-36-03-004717-000</w:t>
      </w:r>
      <w:r>
        <w:rPr>
          <w:rFonts w:hint="default" w:ascii="Arial" w:hAnsi="Arial" w:eastAsia="宋体" w:cs="Arial"/>
          <w:color w:val="auto"/>
          <w:sz w:val="24"/>
          <w:szCs w:val="24"/>
        </w:rPr>
        <w:t>）。</w:t>
      </w:r>
    </w:p>
    <w:p>
      <w:pPr>
        <w:spacing w:line="400" w:lineRule="exact"/>
        <w:ind w:firstLine="480" w:firstLineChars="200"/>
        <w:rPr>
          <w:rFonts w:hint="eastAsia" w:ascii="Arial" w:hAnsi="Arial" w:cs="Arial"/>
          <w:sz w:val="24"/>
          <w:lang w:eastAsia="zh-CN"/>
        </w:rPr>
      </w:pPr>
      <w:r>
        <w:rPr>
          <w:rFonts w:hint="eastAsia" w:ascii="Arial" w:hAnsi="Arial" w:cs="Arial"/>
          <w:sz w:val="24"/>
          <w:lang w:eastAsia="zh-CN"/>
        </w:rPr>
        <w:t>现有工程及环境保护情况：</w:t>
      </w:r>
      <w:r>
        <w:rPr>
          <w:rFonts w:hint="default" w:ascii="Arial" w:hAnsi="Arial" w:eastAsia="宋体" w:cs="Arial"/>
          <w:sz w:val="24"/>
          <w:szCs w:val="24"/>
          <w:lang w:val="en-US" w:eastAsia="zh-CN"/>
        </w:rPr>
        <w:t>已建设有2条自动挂镀铜镍铬线（分别为塑料件和金属件配套）</w:t>
      </w:r>
      <w:r>
        <w:rPr>
          <w:rFonts w:hint="eastAsia" w:ascii="Arial" w:hAnsi="Arial" w:eastAsia="宋体" w:cs="Arial"/>
          <w:sz w:val="24"/>
          <w:szCs w:val="24"/>
          <w:lang w:val="en-US" w:eastAsia="zh-CN"/>
        </w:rPr>
        <w:t>，生产能力为3000万只LED金属支架、2000万只装饰件。</w:t>
      </w:r>
    </w:p>
    <w:p>
      <w:pPr>
        <w:spacing w:line="400" w:lineRule="exact"/>
        <w:jc w:val="center"/>
        <w:rPr>
          <w:rFonts w:hint="default" w:ascii="Arial" w:hAnsi="Arial" w:cs="Arial"/>
          <w:b/>
          <w:bCs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  <w:lang w:eastAsia="zh-CN"/>
        </w:rPr>
        <w:t>表一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   环境保护情况一览表</w:t>
      </w:r>
    </w:p>
    <w:tbl>
      <w:tblPr>
        <w:tblStyle w:val="6"/>
        <w:tblW w:w="852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767"/>
        <w:gridCol w:w="53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项目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污染源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afterLines="0"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  <w:t>落实情况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4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废水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初期雨水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Lines="0" w:line="240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</w:rPr>
              <w:t>生产设备及原辅材料均放置于车间室内，故初期雨水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lang w:eastAsia="zh-CN"/>
              </w:rPr>
              <w:t>未收集处理。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生活污水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Lines="0" w:line="240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生活污水经化粪池处理后，经地下</w:t>
            </w:r>
            <w:r>
              <w:rPr>
                <w:rFonts w:hint="eastAsia"/>
                <w:color w:val="auto"/>
                <w:lang w:eastAsia="zh-CN"/>
              </w:rPr>
              <w:t>生活</w:t>
            </w:r>
            <w:r>
              <w:rPr>
                <w:rFonts w:hint="eastAsia"/>
                <w:color w:val="auto"/>
              </w:rPr>
              <w:t>污水管排入</w:t>
            </w:r>
            <w:r>
              <w:rPr>
                <w:rFonts w:hint="eastAsia"/>
                <w:color w:val="auto"/>
                <w:lang w:eastAsia="zh-CN"/>
              </w:rPr>
              <w:t>市政污水管网</w:t>
            </w:r>
            <w:r>
              <w:rPr>
                <w:rFonts w:hint="eastAsia"/>
                <w:color w:val="auto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生产废水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autoSpaceDE/>
              <w:autoSpaceDN/>
              <w:spacing w:before="0" w:beforeLines="0" w:afterLines="0"/>
              <w:ind w:firstLine="420" w:firstLineChars="200"/>
              <w:jc w:val="both"/>
              <w:outlineLvl w:val="9"/>
              <w:rPr>
                <w:rFonts w:hint="eastAsia"/>
                <w:color w:val="auto"/>
                <w:sz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lang w:eastAsia="zh-CN"/>
              </w:rPr>
              <w:t>废水分</w:t>
            </w:r>
            <w:r>
              <w:rPr>
                <w:rFonts w:hint="eastAsia"/>
                <w:color w:val="auto"/>
                <w:sz w:val="21"/>
              </w:rPr>
              <w:t>含铜废水、含铬废水、</w:t>
            </w:r>
            <w:r>
              <w:rPr>
                <w:rFonts w:hint="eastAsia"/>
                <w:color w:val="auto"/>
                <w:sz w:val="21"/>
                <w:lang w:eastAsia="zh-CN"/>
              </w:rPr>
              <w:t>电镀镍</w:t>
            </w:r>
            <w:r>
              <w:rPr>
                <w:rFonts w:hint="eastAsia"/>
                <w:color w:val="auto"/>
                <w:sz w:val="21"/>
              </w:rPr>
              <w:t>废水、</w:t>
            </w:r>
            <w:r>
              <w:rPr>
                <w:rFonts w:hint="eastAsia"/>
                <w:color w:val="auto"/>
                <w:sz w:val="21"/>
                <w:lang w:eastAsia="zh-CN"/>
              </w:rPr>
              <w:t>化学镍废水、</w:t>
            </w:r>
            <w:r>
              <w:rPr>
                <w:rFonts w:hint="eastAsia"/>
                <w:color w:val="auto"/>
                <w:sz w:val="21"/>
              </w:rPr>
              <w:t>前处理废水、混排废水6路进行收集</w:t>
            </w:r>
            <w:r>
              <w:rPr>
                <w:rFonts w:hint="eastAsia"/>
                <w:color w:val="auto"/>
                <w:sz w:val="21"/>
                <w:lang w:eastAsia="zh-CN"/>
              </w:rPr>
              <w:t>，并纳入厂区污水站相应单元处理。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0" w:firstLineChars="0"/>
              <w:jc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污水站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污水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站分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路进行收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集处理，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分别为：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化学镍废水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前处理废水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电解废水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混排废水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电镀镍废水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含铬废水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含铜废水。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其中电解废水备用。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eastAsia="zh-CN"/>
              </w:rPr>
              <w:t>污水排放口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420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厂区污水站设置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了</w:t>
            </w:r>
            <w:r>
              <w:rPr>
                <w:rFonts w:hint="eastAsia"/>
                <w:color w:val="auto"/>
                <w:sz w:val="21"/>
                <w:szCs w:val="21"/>
              </w:rPr>
              <w:t>标准化污水排放口，污水站出水最终经明沟明管通过厂区东北侧排放口纳入市政污水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管网</w:t>
            </w:r>
            <w:r>
              <w:rPr>
                <w:rFonts w:hint="eastAsia"/>
                <w:color w:val="auto"/>
                <w:sz w:val="21"/>
                <w:szCs w:val="21"/>
              </w:rPr>
              <w:t>。</w:t>
            </w:r>
          </w:p>
          <w:p>
            <w:pPr>
              <w:pStyle w:val="11"/>
              <w:autoSpaceDE w:val="0"/>
              <w:autoSpaceDN w:val="0"/>
              <w:spacing w:line="240" w:lineRule="auto"/>
              <w:jc w:val="left"/>
              <w:outlineLvl w:val="9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企业已</w:t>
            </w:r>
            <w:r>
              <w:rPr>
                <w:rFonts w:hint="eastAsia"/>
                <w:color w:val="auto"/>
                <w:sz w:val="21"/>
                <w:szCs w:val="21"/>
              </w:rPr>
              <w:t>根据环评批复要求安装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了废水</w:t>
            </w:r>
            <w:r>
              <w:rPr>
                <w:rFonts w:hint="eastAsia"/>
                <w:color w:val="auto"/>
                <w:sz w:val="21"/>
                <w:szCs w:val="21"/>
              </w:rPr>
              <w:t>在线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监测系统</w:t>
            </w:r>
            <w:r>
              <w:rPr>
                <w:rFonts w:hint="eastAsia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lang w:eastAsia="zh-CN"/>
              </w:rPr>
              <w:t>监测因子有流量、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pH、总铬，并已与环保部门联网。</w:t>
            </w:r>
            <w:r>
              <w:rPr>
                <w:rFonts w:hint="eastAsia"/>
                <w:color w:val="auto"/>
                <w:sz w:val="21"/>
                <w:szCs w:val="21"/>
              </w:rPr>
              <w:t>厂区西北侧一雨水井内安装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了</w:t>
            </w:r>
            <w:r>
              <w:rPr>
                <w:rFonts w:hint="eastAsia"/>
                <w:color w:val="auto"/>
                <w:sz w:val="21"/>
                <w:szCs w:val="21"/>
              </w:rPr>
              <w:t>pH在线监测系统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color w:val="auto"/>
                <w:sz w:val="21"/>
                <w:szCs w:val="21"/>
              </w:rPr>
              <w:t>建议企业抓紧与环保部门联网。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</w:rPr>
              <w:t>防腐防渗措施</w:t>
            </w:r>
          </w:p>
        </w:tc>
        <w:tc>
          <w:tcPr>
            <w:tcW w:w="53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Lines="0" w:line="240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已建生产线位于生产车间（1#）</w:t>
            </w:r>
            <w:r>
              <w:rPr>
                <w:rFonts w:hint="eastAsia"/>
                <w:color w:val="auto"/>
                <w:lang w:eastAsia="zh-CN"/>
              </w:rPr>
              <w:t>二、三</w:t>
            </w:r>
            <w:r>
              <w:rPr>
                <w:rFonts w:hint="eastAsia"/>
                <w:color w:val="auto"/>
              </w:rPr>
              <w:t>层，各槽体已离地架空约500mm设置；车间地面采用环氧树脂及花岗岩防腐处理，并生产线下方设置PVC塑料板接液盘。生产废水管车间内为明管（PVC），车间外明沟明管方式敷设。污水站各水池已采用环氧树脂五油三布防腐处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4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废气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Lines="0" w:afterLines="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</w:rPr>
              <w:t>硫酸雾废气</w:t>
            </w:r>
          </w:p>
        </w:tc>
        <w:tc>
          <w:tcPr>
            <w:tcW w:w="532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autoSpaceDE w:val="0"/>
              <w:autoSpaceDN w:val="0"/>
              <w:spacing w:before="60" w:beforeLines="0" w:afterLines="0" w:line="240" w:lineRule="auto"/>
              <w:ind w:firstLine="420" w:firstLineChars="200"/>
              <w:jc w:val="both"/>
              <w:outlineLvl w:val="9"/>
              <w:rPr>
                <w:rFonts w:hint="eastAsia" w:ascii="Times New Roman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1"/>
                <w:szCs w:val="21"/>
              </w:rPr>
              <w:t>车间楼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顶共设置了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eastAsia="zh-CN"/>
              </w:rPr>
              <w:t>套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废气处理塔，即碱性废气处理塔、含铬废气处理塔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eastAsia="zh-CN"/>
              </w:rPr>
              <w:t>（二级处理）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及综合废气处理塔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eastAsia="zh-CN"/>
              </w:rPr>
              <w:t>各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val="en-US" w:eastAsia="zh-CN"/>
              </w:rPr>
              <w:t>2套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。分别处理前处理碱性废气，含铬废气及其他酸性（盐酸雾、硫酸雾）废气。碱性废气采用水喷淋吸收处理，含铬废气及其他酸性废气采用碱喷淋吸收处理。其中，前处理脱脂槽及除油槽废气进入碱性废气处理塔，镀铬槽废气进入含铬废气处理塔，镀铜、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eastAsia="zh-CN"/>
              </w:rPr>
              <w:t>活化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槽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  <w:lang w:eastAsia="zh-CN"/>
              </w:rPr>
              <w:t>剂预浸槽</w:t>
            </w:r>
            <w:r>
              <w:rPr>
                <w:rFonts w:hint="default" w:ascii="Arial" w:hAnsi="Arial" w:cs="Arial"/>
                <w:bCs/>
                <w:color w:val="auto"/>
                <w:sz w:val="21"/>
                <w:szCs w:val="21"/>
              </w:rPr>
              <w:t>废气进入综合废气处理塔。净化后废气约22m高排气筒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1"/>
                <w:szCs w:val="21"/>
              </w:rPr>
              <w:t>排放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before="0" w:beforeLines="0" w:afterLines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auto"/>
                <w:sz w:val="21"/>
                <w:szCs w:val="21"/>
              </w:rPr>
              <w:t>铬酸雾废气</w:t>
            </w:r>
          </w:p>
        </w:tc>
        <w:tc>
          <w:tcPr>
            <w:tcW w:w="532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autoSpaceDE w:val="0"/>
              <w:autoSpaceDN w:val="0"/>
              <w:spacing w:line="240" w:lineRule="auto"/>
              <w:jc w:val="left"/>
              <w:outlineLvl w:val="9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固废</w:t>
            </w:r>
          </w:p>
        </w:tc>
        <w:tc>
          <w:tcPr>
            <w:tcW w:w="70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ind w:firstLine="420" w:firstLineChars="200"/>
              <w:outlineLvl w:val="9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项目固废产生情况为：</w:t>
            </w:r>
          </w:p>
          <w:p>
            <w:pPr>
              <w:snapToGrid w:val="0"/>
              <w:spacing w:beforeLines="0" w:afterLines="0"/>
              <w:ind w:firstLine="420" w:firstLineChars="200"/>
              <w:outlineLvl w:val="9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1）</w:t>
            </w:r>
            <w:r>
              <w:rPr>
                <w:rFonts w:hint="eastAsia"/>
                <w:color w:val="auto"/>
                <w:sz w:val="21"/>
                <w:szCs w:val="21"/>
              </w:rPr>
              <w:t>阳极残料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计划出售。目前尚未产生。</w:t>
            </w:r>
          </w:p>
          <w:p>
            <w:pPr>
              <w:snapToGrid w:val="0"/>
              <w:spacing w:beforeLines="0" w:afterLines="0"/>
              <w:ind w:firstLine="420" w:firstLineChars="200"/>
              <w:outlineLvl w:val="9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2）</w:t>
            </w:r>
            <w:r>
              <w:rPr>
                <w:rFonts w:hint="eastAsia"/>
                <w:color w:val="auto"/>
                <w:sz w:val="21"/>
                <w:szCs w:val="21"/>
              </w:rPr>
              <w:t>槽渣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/>
                <w:color w:val="auto"/>
                <w:sz w:val="21"/>
                <w:szCs w:val="21"/>
              </w:rPr>
              <w:t>废水处理污泥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委托宁波科环新型建材股份有限公司处置。</w:t>
            </w:r>
          </w:p>
          <w:p>
            <w:pPr>
              <w:snapToGrid w:val="0"/>
              <w:spacing w:beforeLines="0" w:afterLines="0"/>
              <w:ind w:firstLine="420" w:firstLineChars="200"/>
              <w:outlineLvl w:val="9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3）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废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RO膜、废</w:t>
            </w:r>
            <w:r>
              <w:rPr>
                <w:rFonts w:hint="eastAsia"/>
                <w:color w:val="auto"/>
                <w:sz w:val="21"/>
                <w:szCs w:val="21"/>
              </w:rPr>
              <w:t>饱和离子交换柱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Times New Roman"/>
                <w:color w:val="auto"/>
                <w:sz w:val="21"/>
                <w:szCs w:val="21"/>
              </w:rPr>
              <w:t>废化学品容器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/>
                <w:color w:val="auto"/>
                <w:szCs w:val="21"/>
                <w:lang w:eastAsia="zh-CN"/>
              </w:rPr>
              <w:t>废活性炭、废滤芯</w:t>
            </w:r>
            <w:r>
              <w:rPr>
                <w:rFonts w:hint="eastAsia" w:cs="Times New Roman"/>
                <w:i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委托宁波大地化工环保有限公司处置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。据企业介绍，目前尚未产生。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Lines="0" w:afterLines="0" w:line="240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 w:ascii="Times New Roman" w:hAnsi="Times New Roman" w:cs="Times New Roman"/>
                <w:bCs w:val="0"/>
                <w:snapToGrid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4）</w:t>
            </w:r>
            <w:r>
              <w:rPr>
                <w:rFonts w:hint="eastAsia"/>
                <w:color w:val="auto"/>
                <w:sz w:val="21"/>
                <w:szCs w:val="21"/>
              </w:rPr>
              <w:t>生活垃圾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由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环卫清运。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70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Lines="0" w:afterLines="0" w:line="240" w:lineRule="auto"/>
              <w:ind w:left="0" w:leftChars="0" w:right="0" w:rightChars="0" w:firstLine="420" w:firstLineChars="200"/>
              <w:jc w:val="both"/>
              <w:outlineLvl w:val="9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</w:rPr>
              <w:t>企业已</w:t>
            </w:r>
            <w:r>
              <w:rPr>
                <w:rFonts w:hint="eastAsia"/>
                <w:color w:val="auto"/>
                <w:lang w:eastAsia="zh-CN"/>
              </w:rPr>
              <w:t>在</w:t>
            </w:r>
            <w:r>
              <w:rPr>
                <w:rFonts w:hint="eastAsia"/>
                <w:color w:val="auto"/>
              </w:rPr>
              <w:t>2</w:t>
            </w:r>
            <w:r>
              <w:rPr>
                <w:color w:val="auto"/>
              </w:rPr>
              <w:t>#厂房</w:t>
            </w:r>
            <w:r>
              <w:rPr>
                <w:rFonts w:hint="eastAsia"/>
                <w:color w:val="auto"/>
                <w:lang w:eastAsia="zh-CN"/>
              </w:rPr>
              <w:t>内</w:t>
            </w:r>
            <w:r>
              <w:rPr>
                <w:rFonts w:hint="eastAsia"/>
                <w:color w:val="auto"/>
              </w:rPr>
              <w:t>设置</w:t>
            </w:r>
            <w:r>
              <w:rPr>
                <w:rFonts w:hint="eastAsia"/>
                <w:color w:val="auto"/>
                <w:lang w:eastAsia="zh-CN"/>
              </w:rPr>
              <w:t>了一座</w:t>
            </w:r>
            <w:r>
              <w:rPr>
                <w:rFonts w:hint="eastAsia"/>
                <w:color w:val="auto"/>
              </w:rPr>
              <w:t>固废暂存堆场，地面采用环氧树脂防腐处理。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噪声</w:t>
            </w:r>
          </w:p>
        </w:tc>
        <w:tc>
          <w:tcPr>
            <w:tcW w:w="70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ind w:firstLine="420"/>
              <w:outlineLvl w:val="9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1）企业在选购设备时，优先采购低噪音设备。</w:t>
            </w:r>
          </w:p>
          <w:p>
            <w:pPr>
              <w:spacing w:beforeLines="0" w:afterLines="0" w:line="240" w:lineRule="auto"/>
              <w:ind w:firstLine="420"/>
              <w:outlineLvl w:val="9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2）对风机等高噪声设备设置了减震基础。</w:t>
            </w:r>
          </w:p>
          <w:p>
            <w:pPr>
              <w:snapToGrid w:val="0"/>
              <w:spacing w:beforeLines="0" w:afterLines="0"/>
              <w:ind w:firstLine="420" w:firstLineChars="200"/>
              <w:outlineLvl w:val="9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</w:rPr>
              <w:t>3）生产设施全部位于车间内，利用墙体进行隔音。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</w:rPr>
              <w:t>事故应急</w:t>
            </w:r>
          </w:p>
        </w:tc>
        <w:tc>
          <w:tcPr>
            <w:tcW w:w="70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1"/>
              <w:spacing w:line="240" w:lineRule="auto"/>
              <w:ind w:firstLine="42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1）污水站已设置了1座容积为200m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（容积符合环评批复要求70m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）的全地下事故应急池，用于收集事故泄漏的酸液、电镀液、电镀废水等废水废液。</w:t>
            </w:r>
          </w:p>
          <w:p>
            <w:pPr>
              <w:pStyle w:val="11"/>
              <w:spacing w:line="240" w:lineRule="auto"/>
              <w:ind w:firstLine="42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2）已在厂区西北侧一雨水井内设置了截止阀，企业已在厂区西北侧一雨水井内设置了截止阀，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进入雨水系统的事故废水计划用临时管道泵至污水站处理。</w:t>
            </w:r>
          </w:p>
          <w:p>
            <w:pPr>
              <w:pStyle w:val="11"/>
              <w:spacing w:line="240" w:lineRule="auto"/>
              <w:ind w:firstLine="42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2#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厂房内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已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设置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了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酸碱库，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库房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地面采用环氧树脂防腐处理。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建议企业按照环评要求设置围堰。</w:t>
            </w:r>
          </w:p>
          <w:p>
            <w:pPr>
              <w:snapToGrid w:val="0"/>
              <w:spacing w:beforeLines="0" w:afterLines="0" w:line="240" w:lineRule="auto"/>
              <w:ind w:firstLine="420" w:firstLineChars="200"/>
              <w:rPr>
                <w:rFonts w:hint="default"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4）企业已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编制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了《</w:t>
            </w:r>
            <w:r>
              <w:rPr>
                <w:rFonts w:hint="default" w:ascii="Times New Roman" w:hAnsi="Times New Roman" w:eastAsia="宋体" w:cs="Times New Roman"/>
                <w:bCs w:val="0"/>
                <w:snapToGrid/>
                <w:color w:val="auto"/>
                <w:sz w:val="21"/>
                <w:szCs w:val="21"/>
              </w:rPr>
              <w:t>宁波七品机械制造有限公司</w:t>
            </w:r>
            <w:r>
              <w:rPr>
                <w:rFonts w:hint="default" w:ascii="Times New Roman" w:hAnsi="Times New Roman" w:eastAsia="宋体" w:cs="Times New Roman"/>
                <w:bCs w:val="0"/>
                <w:snapToGrid/>
                <w:color w:val="auto"/>
                <w:sz w:val="21"/>
                <w:szCs w:val="21"/>
                <w:lang w:eastAsia="zh-CN"/>
              </w:rPr>
              <w:t>突发环境事件应急预案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》，并于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2018年1月22日在余姚市环境保护局备案，备案号330281-2018-001-L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spacing w:before="0" w:beforeLines="0" w:afterLines="0" w:line="240" w:lineRule="auto"/>
              <w:rPr>
                <w:rFonts w:hint="eastAsia" w:ascii="Times New Roman" w:hAnsi="Times New Roman" w:eastAsia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eastAsia="zh-CN"/>
              </w:rPr>
              <w:t>其他</w:t>
            </w:r>
          </w:p>
        </w:tc>
        <w:tc>
          <w:tcPr>
            <w:tcW w:w="70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beforeLines="0" w:afterLines="0" w:line="240" w:lineRule="auto"/>
              <w:ind w:firstLine="420" w:firstLineChars="200"/>
              <w:outlineLvl w:val="9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已建生产线位于生产车间（1#）</w:t>
            </w:r>
            <w:r>
              <w:rPr>
                <w:rFonts w:hint="eastAsia"/>
                <w:color w:val="auto"/>
                <w:szCs w:val="21"/>
                <w:lang w:eastAsia="zh-CN"/>
              </w:rPr>
              <w:t>二</w:t>
            </w:r>
            <w:r>
              <w:rPr>
                <w:rFonts w:hint="eastAsia"/>
                <w:color w:val="auto"/>
                <w:szCs w:val="21"/>
              </w:rPr>
              <w:t>层，各槽体已离地架空约500mm设置。</w:t>
            </w:r>
          </w:p>
          <w:p>
            <w:pPr>
              <w:numPr>
                <w:ilvl w:val="0"/>
                <w:numId w:val="1"/>
              </w:numPr>
              <w:snapToGrid w:val="0"/>
              <w:spacing w:beforeLines="0" w:afterLines="0" w:line="240" w:lineRule="auto"/>
              <w:ind w:firstLine="420" w:firstLineChars="200"/>
              <w:outlineLvl w:val="9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企业设有专门的环保管理机构，并设有环保专员。已编制了厂区环保管理制度，污水站操作规程等。</w:t>
            </w:r>
          </w:p>
        </w:tc>
      </w:tr>
    </w:tbl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2、项目的建设单位和联系方式</w:t>
      </w:r>
    </w:p>
    <w:p>
      <w:pPr>
        <w:spacing w:line="400" w:lineRule="exact"/>
        <w:ind w:firstLine="480" w:firstLineChars="200"/>
        <w:rPr>
          <w:rFonts w:hint="eastAsia" w:ascii="Arial" w:hAnsi="Arial" w:cs="Arial" w:eastAsiaTheme="minorEastAsia"/>
          <w:color w:val="000000"/>
          <w:sz w:val="24"/>
          <w:lang w:eastAsia="zh-CN"/>
        </w:rPr>
      </w:pPr>
      <w:r>
        <w:rPr>
          <w:rFonts w:ascii="Arial" w:hAnsi="Arial" w:cs="Arial"/>
          <w:color w:val="000000"/>
          <w:sz w:val="24"/>
        </w:rPr>
        <w:t>建设单位：</w:t>
      </w:r>
      <w:r>
        <w:rPr>
          <w:rFonts w:hint="eastAsia" w:ascii="Arial" w:hAnsi="Arial" w:cs="Arial"/>
          <w:color w:val="000000"/>
          <w:sz w:val="24"/>
          <w:lang w:eastAsia="zh-CN"/>
        </w:rPr>
        <w:t>宁波七品机械制造有限公司</w:t>
      </w:r>
    </w:p>
    <w:p>
      <w:pPr>
        <w:spacing w:line="400" w:lineRule="exact"/>
        <w:ind w:firstLine="480" w:firstLineChars="200"/>
        <w:rPr>
          <w:rFonts w:hint="eastAsia" w:ascii="Arial" w:hAnsi="Arial" w:cs="Arial"/>
          <w:sz w:val="24"/>
        </w:rPr>
      </w:pPr>
      <w:r>
        <w:rPr>
          <w:rFonts w:ascii="Arial" w:hAnsi="Arial" w:cs="Arial"/>
          <w:sz w:val="24"/>
        </w:rPr>
        <w:t>建设地点</w:t>
      </w:r>
      <w:r>
        <w:rPr>
          <w:rFonts w:hint="eastAsia" w:ascii="Arial" w:hAnsi="Arial" w:cs="Arial"/>
          <w:sz w:val="24"/>
        </w:rPr>
        <w:t>：</w:t>
      </w:r>
      <w:r>
        <w:rPr>
          <w:rFonts w:hint="eastAsia" w:ascii="Arial" w:hAnsi="Arial" w:cs="Arial"/>
          <w:sz w:val="24"/>
          <w:lang w:eastAsia="zh-CN"/>
        </w:rPr>
        <w:t>宁波市余姚市</w:t>
      </w:r>
      <w:r>
        <w:rPr>
          <w:rFonts w:hint="eastAsia" w:ascii="Arial" w:hAnsi="Arial" w:cs="Arial"/>
          <w:sz w:val="24"/>
        </w:rPr>
        <w:t>临山镇临浦村戚海东路1-2号</w:t>
      </w:r>
      <w:r>
        <w:rPr>
          <w:rFonts w:hint="eastAsia" w:ascii="Arial" w:hAnsi="Arial" w:cs="Arial"/>
          <w:sz w:val="24"/>
          <w:lang w:eastAsia="zh-CN"/>
        </w:rPr>
        <w:t>（临山镇工业功能区北区）</w:t>
      </w:r>
    </w:p>
    <w:p>
      <w:pPr>
        <w:spacing w:line="400" w:lineRule="exact"/>
        <w:ind w:firstLine="480" w:firstLineChars="200"/>
        <w:rPr>
          <w:rFonts w:hint="default" w:ascii="Arial" w:hAnsi="Arial" w:cs="Arial" w:eastAsiaTheme="minorEastAsia"/>
          <w:color w:val="000000"/>
          <w:sz w:val="24"/>
          <w:lang w:val="en-US" w:eastAsia="zh-CN"/>
        </w:rPr>
      </w:pPr>
      <w:r>
        <w:rPr>
          <w:rFonts w:ascii="Arial" w:hAnsi="Arial" w:cs="Arial"/>
          <w:color w:val="000000"/>
          <w:sz w:val="24"/>
        </w:rPr>
        <w:t>联系方式：</w:t>
      </w:r>
      <w:r>
        <w:rPr>
          <w:rFonts w:hint="eastAsia" w:ascii="Arial" w:hAnsi="Arial" w:cs="Arial"/>
          <w:color w:val="000000"/>
          <w:sz w:val="24"/>
          <w:lang w:val="en-US" w:eastAsia="zh-CN"/>
        </w:rPr>
        <w:t>0574-87507055</w:t>
      </w:r>
    </w:p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3、环境影响评价机构的名称和联系方式</w:t>
      </w:r>
    </w:p>
    <w:p>
      <w:pPr>
        <w:spacing w:line="400" w:lineRule="exact"/>
        <w:ind w:firstLine="480" w:firstLineChars="200"/>
        <w:rPr>
          <w:rFonts w:hint="eastAsia" w:ascii="Arial" w:hAnsi="Arial" w:cs="Arial" w:eastAsiaTheme="minorEastAsia"/>
          <w:color w:val="000000"/>
          <w:sz w:val="24"/>
          <w:lang w:eastAsia="zh-CN"/>
        </w:rPr>
      </w:pPr>
      <w:r>
        <w:rPr>
          <w:rFonts w:ascii="Arial" w:hAnsi="Arial" w:cs="Arial"/>
          <w:color w:val="000000"/>
          <w:sz w:val="24"/>
        </w:rPr>
        <w:t>单位</w:t>
      </w:r>
      <w:bookmarkStart w:id="0" w:name="_GoBack"/>
      <w:bookmarkEnd w:id="0"/>
      <w:r>
        <w:rPr>
          <w:rFonts w:ascii="Arial" w:hAnsi="Arial" w:cs="Arial"/>
          <w:color w:val="000000"/>
          <w:sz w:val="24"/>
        </w:rPr>
        <w:t>名称：浙江</w:t>
      </w:r>
      <w:r>
        <w:rPr>
          <w:rFonts w:hint="eastAsia" w:ascii="Arial" w:hAnsi="Arial" w:cs="Arial"/>
          <w:color w:val="000000"/>
          <w:sz w:val="24"/>
          <w:lang w:eastAsia="zh-CN"/>
        </w:rPr>
        <w:t>省环境科技有限公司</w:t>
      </w:r>
    </w:p>
    <w:p>
      <w:pPr>
        <w:spacing w:line="400" w:lineRule="exact"/>
        <w:ind w:firstLine="480" w:firstLineChars="200"/>
        <w:rPr>
          <w:rFonts w:hint="default" w:ascii="Arial" w:hAnsi="Arial" w:cs="Arial" w:eastAsiaTheme="minorEastAsia"/>
          <w:color w:val="000000"/>
          <w:sz w:val="24"/>
          <w:lang w:val="en-US" w:eastAsia="zh-CN"/>
        </w:rPr>
      </w:pPr>
      <w:r>
        <w:rPr>
          <w:rFonts w:ascii="Arial" w:hAnsi="Arial" w:cs="Arial"/>
          <w:color w:val="000000"/>
          <w:sz w:val="24"/>
        </w:rPr>
        <w:t>单位所在地：</w:t>
      </w:r>
      <w:r>
        <w:rPr>
          <w:rFonts w:hint="eastAsia" w:ascii="Arial" w:hAnsi="Arial" w:cs="Arial"/>
          <w:color w:val="000000"/>
          <w:sz w:val="24"/>
        </w:rPr>
        <w:t>宁波高新区</w:t>
      </w:r>
      <w:r>
        <w:rPr>
          <w:rFonts w:hint="eastAsia" w:ascii="Arial" w:hAnsi="Arial" w:cs="Arial"/>
          <w:color w:val="000000"/>
          <w:sz w:val="24"/>
          <w:lang w:eastAsia="zh-CN"/>
        </w:rPr>
        <w:t>聚贤路</w:t>
      </w:r>
      <w:r>
        <w:rPr>
          <w:rFonts w:hint="eastAsia" w:ascii="Arial" w:hAnsi="Arial" w:cs="Arial"/>
          <w:color w:val="000000"/>
          <w:sz w:val="24"/>
          <w:lang w:val="en-US" w:eastAsia="zh-CN"/>
        </w:rPr>
        <w:t>587弄15号2#楼11层</w:t>
      </w:r>
    </w:p>
    <w:p>
      <w:pPr>
        <w:spacing w:line="400" w:lineRule="exact"/>
        <w:ind w:firstLine="480" w:firstLineChars="200"/>
        <w:rPr>
          <w:rFonts w:hint="default" w:ascii="Arial" w:hAnsi="Arial" w:cs="Arial" w:eastAsiaTheme="minorEastAsia"/>
          <w:color w:val="000000"/>
          <w:sz w:val="24"/>
          <w:lang w:val="en-US" w:eastAsia="zh-CN"/>
        </w:rPr>
      </w:pPr>
      <w:r>
        <w:rPr>
          <w:rFonts w:ascii="Arial" w:hAnsi="Arial" w:cs="Arial"/>
          <w:color w:val="000000"/>
          <w:sz w:val="24"/>
        </w:rPr>
        <w:t>联系方式：</w:t>
      </w:r>
      <w:r>
        <w:rPr>
          <w:rFonts w:hint="eastAsia" w:ascii="Arial" w:hAnsi="Arial" w:cs="Arial"/>
          <w:color w:val="000000"/>
          <w:sz w:val="24"/>
        </w:rPr>
        <w:t>0574-87561165</w:t>
      </w:r>
    </w:p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4、环评审批部门联系方式</w:t>
      </w:r>
    </w:p>
    <w:p>
      <w:pPr>
        <w:spacing w:line="400" w:lineRule="exact"/>
        <w:ind w:firstLine="480" w:firstLineChars="200"/>
        <w:rPr>
          <w:rFonts w:hint="eastAsia" w:ascii="Arial" w:hAnsi="Arial" w:cs="Arial"/>
          <w:color w:val="000000"/>
          <w:sz w:val="24"/>
          <w:lang w:eastAsia="zh-CN"/>
        </w:rPr>
      </w:pPr>
      <w:r>
        <w:rPr>
          <w:rFonts w:hint="eastAsia" w:ascii="Arial" w:hAnsi="Arial" w:cs="Arial"/>
          <w:color w:val="000000"/>
          <w:sz w:val="24"/>
          <w:lang w:eastAsia="zh-CN"/>
        </w:rPr>
        <w:t>单位名称：宁波市生态环境局</w:t>
      </w:r>
    </w:p>
    <w:p>
      <w:pPr>
        <w:spacing w:line="400" w:lineRule="exact"/>
        <w:ind w:firstLine="480" w:firstLineChars="200"/>
        <w:rPr>
          <w:rFonts w:hint="eastAsia" w:ascii="Arial" w:hAnsi="Arial" w:cs="Arial" w:eastAsiaTheme="minorEastAsia"/>
          <w:color w:val="000000"/>
          <w:sz w:val="24"/>
          <w:lang w:eastAsia="zh-CN"/>
        </w:rPr>
      </w:pPr>
      <w:r>
        <w:rPr>
          <w:rFonts w:hint="eastAsia" w:ascii="Arial" w:hAnsi="Arial" w:cs="Arial"/>
          <w:color w:val="000000"/>
          <w:sz w:val="24"/>
          <w:lang w:eastAsia="zh-CN"/>
        </w:rPr>
        <w:t>地址：</w:t>
      </w:r>
      <w:r>
        <w:rPr>
          <w:rFonts w:hint="eastAsia" w:ascii="Arial" w:hAnsi="Arial" w:cs="Arial"/>
          <w:color w:val="000000"/>
          <w:sz w:val="24"/>
        </w:rPr>
        <w:t>宁波市行政服务中心环保窗口（宁穿路1901号）</w:t>
      </w:r>
    </w:p>
    <w:p>
      <w:pPr>
        <w:spacing w:line="400" w:lineRule="exact"/>
        <w:ind w:firstLine="480" w:firstLineChars="200"/>
        <w:rPr>
          <w:rFonts w:hint="default" w:ascii="Arial" w:hAnsi="Arial" w:cs="Arial" w:eastAsiaTheme="minorEastAsia"/>
          <w:color w:val="auto"/>
          <w:sz w:val="24"/>
          <w:lang w:val="en-US" w:eastAsia="zh-CN"/>
        </w:rPr>
      </w:pPr>
      <w:r>
        <w:rPr>
          <w:rFonts w:hint="eastAsia" w:ascii="Arial" w:hAnsi="Arial" w:cs="Arial"/>
          <w:color w:val="000000"/>
          <w:sz w:val="24"/>
        </w:rPr>
        <w:t>联系方式</w:t>
      </w:r>
      <w:r>
        <w:rPr>
          <w:rFonts w:hint="eastAsia" w:ascii="Arial" w:hAnsi="Arial" w:cs="Arial"/>
          <w:color w:val="auto"/>
          <w:sz w:val="24"/>
        </w:rPr>
        <w:t>：</w:t>
      </w:r>
      <w:r>
        <w:rPr>
          <w:rFonts w:hint="eastAsia" w:ascii="Arial" w:hAnsi="Arial" w:cs="Arial"/>
          <w:color w:val="auto"/>
          <w:sz w:val="24"/>
          <w:lang w:val="en-US" w:eastAsia="zh-CN"/>
        </w:rPr>
        <w:t>0574-86898952</w:t>
      </w:r>
    </w:p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5、环境影响评价的工作程序和主要工作内容</w:t>
      </w:r>
    </w:p>
    <w:p>
      <w:pPr>
        <w:spacing w:line="400" w:lineRule="exact"/>
        <w:ind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环评工作程序：接受委托→资料收集，影响因素分析，环境现状调查、监测→环境现状评价→环境影响预测、分析→综合评价分析→编制环评报告书→报批</w:t>
      </w:r>
    </w:p>
    <w:p>
      <w:pPr>
        <w:spacing w:line="400" w:lineRule="exact"/>
        <w:ind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主要工作内容：阐明工程所在区域环境质量现状，预测分析工程所造成的各类环境影响，针对不利影响提出环保对策措施。</w:t>
      </w:r>
    </w:p>
    <w:p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6、公众提出意见的主要方式</w:t>
      </w:r>
    </w:p>
    <w:p>
      <w:pPr>
        <w:spacing w:line="400" w:lineRule="exact"/>
        <w:ind w:firstLine="480"/>
        <w:rPr>
          <w:rFonts w:hint="eastAsia" w:ascii="Arial" w:hAnsi="Arial" w:cs="Arial" w:eastAsiaTheme="minorEastAsia"/>
          <w:sz w:val="24"/>
          <w:lang w:eastAsia="zh-CN"/>
        </w:rPr>
      </w:pPr>
      <w:r>
        <w:rPr>
          <w:rFonts w:ascii="Arial" w:hAnsi="Arial" w:cs="Arial"/>
          <w:sz w:val="24"/>
        </w:rPr>
        <w:t>社会各界公众可在</w:t>
      </w:r>
      <w:r>
        <w:rPr>
          <w:rFonts w:hint="eastAsia" w:ascii="Arial" w:hAnsi="Arial" w:cs="Arial"/>
          <w:sz w:val="24"/>
          <w:lang w:eastAsia="zh-CN"/>
        </w:rPr>
        <w:t>环评期间</w:t>
      </w:r>
      <w:r>
        <w:rPr>
          <w:rFonts w:ascii="Arial" w:hAnsi="Arial" w:cs="Arial"/>
          <w:sz w:val="24"/>
        </w:rPr>
        <w:t>以信函、传真、电子邮件或其他方式</w:t>
      </w:r>
      <w:r>
        <w:rPr>
          <w:rFonts w:hint="eastAsia" w:ascii="Arial" w:hAnsi="Arial" w:cs="Arial"/>
          <w:sz w:val="24"/>
        </w:rPr>
        <w:t>，向建设单位和环评单位咨询相关信息，并提出工程环境保护方面的有关意见和建议</w:t>
      </w:r>
      <w:r>
        <w:rPr>
          <w:rFonts w:hint="eastAsia" w:ascii="Arial" w:hAnsi="Arial" w:cs="Arial"/>
          <w:sz w:val="24"/>
          <w:lang w:eastAsia="zh-CN"/>
        </w:rPr>
        <w:t>。</w:t>
      </w:r>
    </w:p>
    <w:p>
      <w:pPr>
        <w:spacing w:line="400" w:lineRule="exact"/>
        <w:ind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环评单位将在工程《环境影响报告书》中真实记录和考虑公众的意见和建议，并将公众的宝贵意见、建议向工程的建设单位、设计单位和有关部门反映。请公众在发表意见的同时提供详尽的联系方式。</w:t>
      </w:r>
    </w:p>
    <w:p>
      <w:pPr>
        <w:spacing w:line="400" w:lineRule="exact"/>
        <w:ind w:left="4517" w:leftChars="2151" w:firstLine="600" w:firstLineChars="250"/>
        <w:rPr>
          <w:rFonts w:hint="eastAsia" w:ascii="Arial" w:hAnsi="Arial" w:cs="Arial"/>
          <w:color w:val="000000"/>
          <w:sz w:val="24"/>
          <w:lang w:eastAsia="zh-CN"/>
        </w:rPr>
      </w:pPr>
    </w:p>
    <w:p>
      <w:pPr>
        <w:spacing w:line="400" w:lineRule="exact"/>
        <w:ind w:left="4517" w:leftChars="2151" w:firstLine="600" w:firstLineChars="250"/>
        <w:rPr>
          <w:rFonts w:hint="eastAsia" w:ascii="Arial" w:hAnsi="Arial" w:cs="Arial"/>
          <w:color w:val="000000"/>
          <w:sz w:val="24"/>
          <w:lang w:eastAsia="zh-CN"/>
        </w:rPr>
      </w:pPr>
    </w:p>
    <w:p>
      <w:pPr>
        <w:spacing w:line="400" w:lineRule="exact"/>
        <w:ind w:left="4517" w:leftChars="2151" w:firstLine="600" w:firstLineChars="250"/>
        <w:rPr>
          <w:rFonts w:hint="eastAsia" w:ascii="Arial" w:hAnsi="Arial" w:cs="Arial"/>
          <w:color w:val="000000"/>
          <w:sz w:val="24"/>
          <w:lang w:eastAsia="zh-CN"/>
        </w:rPr>
      </w:pPr>
    </w:p>
    <w:p>
      <w:pPr>
        <w:spacing w:line="400" w:lineRule="exact"/>
        <w:ind w:left="4517" w:leftChars="2151" w:firstLine="600" w:firstLineChars="250"/>
        <w:rPr>
          <w:rFonts w:hint="eastAsia" w:ascii="Arial" w:hAnsi="Arial" w:cs="Arial"/>
          <w:color w:val="000000"/>
          <w:sz w:val="24"/>
          <w:lang w:eastAsia="zh-CN"/>
        </w:rPr>
      </w:pPr>
    </w:p>
    <w:p>
      <w:pPr>
        <w:spacing w:line="400" w:lineRule="exact"/>
        <w:ind w:left="4517" w:leftChars="2151" w:firstLine="600" w:firstLineChars="250"/>
        <w:rPr>
          <w:rFonts w:hint="eastAsia" w:ascii="Arial" w:hAnsi="Arial" w:cs="Arial" w:eastAsiaTheme="minorEastAsia"/>
          <w:sz w:val="24"/>
          <w:lang w:eastAsia="zh-CN"/>
        </w:rPr>
      </w:pPr>
      <w:r>
        <w:rPr>
          <w:rFonts w:hint="eastAsia" w:ascii="Arial" w:hAnsi="Arial" w:cs="Arial"/>
          <w:color w:val="000000"/>
          <w:sz w:val="24"/>
          <w:lang w:eastAsia="zh-CN"/>
        </w:rPr>
        <w:t>宁波七品机械制造有限公司</w:t>
      </w:r>
    </w:p>
    <w:p>
      <w:pPr>
        <w:wordWrap w:val="0"/>
        <w:spacing w:line="400" w:lineRule="exact"/>
        <w:jc w:val="right"/>
        <w:rPr>
          <w:rFonts w:hint="default" w:ascii="Arial" w:hAnsi="Arial" w:cs="Arial" w:eastAsiaTheme="minorEastAsia"/>
          <w:sz w:val="24"/>
          <w:lang w:val="en-US" w:eastAsia="zh-CN"/>
        </w:rPr>
      </w:pPr>
      <w:r>
        <w:rPr>
          <w:rFonts w:hint="eastAsia"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0</w:t>
      </w:r>
      <w:r>
        <w:rPr>
          <w:rFonts w:hint="eastAsia" w:ascii="Arial" w:hAnsi="Arial" w:cs="Arial"/>
          <w:sz w:val="24"/>
        </w:rPr>
        <w:t>1</w:t>
      </w:r>
      <w:r>
        <w:rPr>
          <w:rFonts w:hint="eastAsia" w:ascii="Arial" w:hAnsi="Arial" w:cs="Arial"/>
          <w:sz w:val="24"/>
          <w:lang w:val="en-US" w:eastAsia="zh-CN"/>
        </w:rPr>
        <w:t>9</w:t>
      </w:r>
      <w:r>
        <w:rPr>
          <w:rFonts w:ascii="Arial" w:hAnsi="Arial" w:cs="Arial"/>
          <w:sz w:val="24"/>
        </w:rPr>
        <w:t>年</w:t>
      </w:r>
      <w:r>
        <w:rPr>
          <w:rFonts w:hint="eastAsia" w:ascii="Arial" w:hAnsi="Arial" w:cs="Arial"/>
          <w:sz w:val="24"/>
          <w:lang w:val="en-US" w:eastAsia="zh-CN"/>
        </w:rPr>
        <w:t>5</w:t>
      </w:r>
      <w:r>
        <w:rPr>
          <w:rFonts w:hint="eastAsia" w:ascii="Arial" w:hAnsi="Arial" w:cs="Arial"/>
          <w:sz w:val="24"/>
        </w:rPr>
        <w:t>月</w:t>
      </w:r>
      <w:r>
        <w:rPr>
          <w:rFonts w:hint="eastAsia" w:ascii="Arial" w:hAnsi="Arial" w:cs="Arial"/>
          <w:sz w:val="24"/>
          <w:lang w:val="en-US" w:eastAsia="zh-CN"/>
        </w:rPr>
        <w:t>21</w:t>
      </w:r>
      <w:r>
        <w:rPr>
          <w:rFonts w:hint="eastAsia" w:ascii="Arial" w:hAnsi="Arial" w:cs="Arial"/>
          <w:sz w:val="24"/>
        </w:rPr>
        <w:t>日</w:t>
      </w:r>
      <w:r>
        <w:rPr>
          <w:rFonts w:hint="eastAsia" w:ascii="Arial" w:hAnsi="Arial" w:cs="Arial"/>
          <w:sz w:val="24"/>
          <w:lang w:val="en-US" w:eastAsia="zh-CN"/>
        </w:rPr>
        <w:t xml:space="preserve">     </w:t>
      </w:r>
    </w:p>
    <w:p>
      <w:pPr>
        <w:rPr>
          <w:rFonts w:hint="eastAsia"/>
          <w:color w:val="auto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F2F67"/>
    <w:multiLevelType w:val="singleLevel"/>
    <w:tmpl w:val="59CF2F67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66C2D"/>
    <w:rsid w:val="053B3FAD"/>
    <w:rsid w:val="0F751969"/>
    <w:rsid w:val="13A00E71"/>
    <w:rsid w:val="1420115F"/>
    <w:rsid w:val="2ED762CA"/>
    <w:rsid w:val="35566C2D"/>
    <w:rsid w:val="5A601ED5"/>
    <w:rsid w:val="5FBA2427"/>
    <w:rsid w:val="6BC10283"/>
    <w:rsid w:val="716847AD"/>
    <w:rsid w:val="77B32740"/>
    <w:rsid w:val="7A7E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iPriority w:val="0"/>
    <w:pPr>
      <w:snapToGrid/>
      <w:spacing w:before="60" w:after="60" w:afterAutospacing="0" w:line="360" w:lineRule="auto"/>
      <w:ind w:firstLine="960" w:firstLineChars="200"/>
    </w:pPr>
    <w:rPr>
      <w:rFonts w:ascii="Arial" w:hAnsi="Arial"/>
      <w:sz w:val="24"/>
    </w:rPr>
  </w:style>
  <w:style w:type="paragraph" w:customStyle="1" w:styleId="8">
    <w:name w:val=" Char Char"/>
    <w:basedOn w:val="1"/>
    <w:link w:val="7"/>
    <w:qFormat/>
    <w:uiPriority w:val="0"/>
  </w:style>
  <w:style w:type="character" w:styleId="9">
    <w:name w:val="page number"/>
    <w:basedOn w:val="7"/>
    <w:qFormat/>
    <w:uiPriority w:val="0"/>
  </w:style>
  <w:style w:type="paragraph" w:customStyle="1" w:styleId="10">
    <w:name w:val="表格文字2"/>
    <w:basedOn w:val="1"/>
    <w:qFormat/>
    <w:uiPriority w:val="0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/>
      <w:jc w:val="center"/>
      <w:textAlignment w:val="baseline"/>
    </w:pPr>
    <w:rPr>
      <w:kern w:val="0"/>
      <w:szCs w:val="21"/>
    </w:rPr>
  </w:style>
  <w:style w:type="paragraph" w:customStyle="1" w:styleId="11">
    <w:name w:val="正文首行缩进 2 + Times New Roman"/>
    <w:basedOn w:val="1"/>
    <w:qFormat/>
    <w:uiPriority w:val="0"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="48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2019-05-08T07:20:00Z</dcterms:created>
  <dc:creator>cong</dc:creator>
  <cp:lastModifiedBy>陈玉昌</cp:lastModifiedBy>
  <dcterms:modified xsi:type="dcterms:W3CDTF">2019-05-23T08:16:10Z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